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36"/>
          <w:lang w:eastAsia="ru-RU"/>
        </w:rPr>
        <w:t xml:space="preserve">Отчет об итогах голосования,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36"/>
          <w:lang w:eastAsia="ru-RU"/>
        </w:rPr>
        <w:t>содержащий решения, принятые на общем собрании акционеров.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tbl>
      <w:tblPr>
        <w:tblW w:w="9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36"/>
        <w:gridCol w:w="271"/>
        <w:gridCol w:w="5518"/>
      </w:tblGrid>
      <w:tr>
        <w:trPr/>
        <w:tc>
          <w:tcPr>
            <w:tcW w:w="3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Полное фирменное наименование Общества</w:t>
            </w: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 xml:space="preserve">Акционерное общество «Изумруд» (далее также Общество или </w:t>
              <w:br/>
              <w:t>АО «Изумруд»).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Место нахождения Общества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Российская Федерация, г. Владивосток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Адрес Общества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690105, Российская Федерация г. Владивосток, ул. Русская, 65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Способ принятия решений общим собранием акционеров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196314573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Заседани</w:t>
            </w:r>
            <w:bookmarkStart w:id="1" w:name="_Hlk196319571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 (без возможности дистанционного участия в заседании).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Голосование на заседании совмещалось с заочным голосование</w:t>
            </w:r>
            <w:bookmarkEnd w:id="1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м.</w:t>
            </w:r>
            <w:bookmarkEnd w:id="0"/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Вид заседания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Годовое.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Дата проведения заседания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000" w:leader="none"/>
              </w:tabs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26 июня 2026 года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000" w:leader="none"/>
              </w:tabs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01 июня 2026 года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Место проведения заседания (адрес, по которому проводилось заседание)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000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г. Владивосток, ул. Русская, 65 (Конференц-зал, кабинет №208)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Счетная комиссия (лицо, проводившее подсчет голосов и подтвердившее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принятие общим собранием акционеров Общества решений на заседании и состав акционеров Общества, присутствовавших при их принятии)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000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Функции счётной комиссии на заседании выполнял регистратор Общества: Акционерное общество ВТБ Регистратор.</w:t>
            </w:r>
          </w:p>
          <w:p>
            <w:pPr>
              <w:pStyle w:val="Normal"/>
              <w:tabs>
                <w:tab w:val="clear" w:pos="708"/>
                <w:tab w:val="left" w:pos="2000" w:leader="none"/>
              </w:tabs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Уполномоченное лицо Регистратора: Мирошниченко Александр Михайлович по доверенности от 03.03.2025 г. № 030325/28.</w:t>
            </w:r>
          </w:p>
        </w:tc>
      </w:tr>
      <w:tr>
        <w:trPr/>
        <w:tc>
          <w:tcPr>
            <w:tcW w:w="3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Дата составления (подписания) протокола общего собрания акционеров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4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 xml:space="preserve"> июня 2026 года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Повестка дня: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1.</w:t>
        <w:tab/>
        <w:t>Утверждение годового отчета Общества за 2025 год.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2.</w:t>
        <w:tab/>
        <w:t>Утверждение годовой бухгалтерской (финансовой) отчетности Общества за 2025 год.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3.</w:t>
        <w:tab/>
        <w:t>Распределение прибыли (в том числе выплата (объявление) дивидендов) и убытков Общества по результатам 2025 года.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4.</w:t>
        <w:tab/>
        <w:t>Выплата вознаграждений за работу в составах совета директоров и ревизионной комиссии членам совета директоров и ревизионной комиссии Общества.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5.</w:t>
        <w:tab/>
        <w:t>Избрание членов совета директоров Общества.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6.</w:t>
        <w:tab/>
        <w:t>Избрание членов ревизионной комиссии Общества.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7.</w:t>
        <w:tab/>
        <w:t>Назначение аудиторской организации Общества.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8.</w:t>
        <w:tab/>
        <w:t>Внесение изменений и дополнений в Устав Общества.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1. Итоги голосования по вопросу №1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  <w:bookmarkStart w:id="2" w:name="dst100206"/>
      <w:bookmarkStart w:id="3" w:name="dst100206"/>
      <w:bookmarkEnd w:id="3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color w:val="000000"/>
                <w:highlight w:val="none"/>
                <w:shd w:fill="00A933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auto" w:val="clear"/>
              </w:rPr>
              <w:t>63747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99,9608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0,0000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0,0094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0,0298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Утвердить годовой отчет Общества за 2025 год.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2. Итоги голосования по вопросу №2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63 772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(85,5506%). Кворум имелся.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63 747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99,9608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0,0000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0,0094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0,0298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Утвердить годовую бухгалтерскую (финансовую) отчетность Общества за 2025 год.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3. Итоги голосования по вопросу №3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63 739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99,9482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0,0220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0,0000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0,0298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1. Утвердить следующее распределение чистой прибыли, полученной Обществом по результатам 2025 года в размере 162 788 132,52 руб.: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выплата дивидендов – 81 400 956 рублей (50,0% от чистой прибыли Общества);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выплата вознаграждения членам совета директоров - 4 800 000,00 рублей (2,95% чистой прибыли Общества);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–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выплата вознаграждения членам ревизионной комиссии – 324 000,00 рублей (0,20% от чистой прибыли Общества);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Чистую прибыль в размере 76 263 176,52 рублей (46,85% от чистой прибыли) не распределять.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2. Выплатить дивиденды в денежной форме и в сроки и порядке, установленными Федеральным законом «Об акционерных обществах» в размере 1 092 (одна тысяча девяносто два) рубля на одну акцию.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Установить в качестве даты, на которую определяются лица, имеющие право на получение дивидендов, 14 июля 2026 года.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4. По четвертому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63 693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99,8761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0,0282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0,0847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0,0110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 xml:space="preserve">Выплатить совету директоров и ревизионной комиссии Общества по итогам работы в 2025-2026 корпоративному году вознаграждение: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совету директоров Общества в размере 4 800 000,00 рублей;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ревизионной комиссии Общества в размере 324 000,00 рублей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5. По пятому вопросу повестки дня:</w:t>
      </w:r>
    </w:p>
    <w:p>
      <w:pPr>
        <w:pStyle w:val="Normal"/>
        <w:spacing w:lineRule="auto" w:line="233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521 801.</w:t>
      </w:r>
    </w:p>
    <w:p>
      <w:pPr>
        <w:pStyle w:val="Normal"/>
        <w:spacing w:lineRule="auto" w:line="233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521 801.</w:t>
      </w:r>
    </w:p>
    <w:p>
      <w:pPr>
        <w:pStyle w:val="Normal"/>
        <w:spacing w:lineRule="auto" w:line="233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446 404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797"/>
        <w:gridCol w:w="4166"/>
        <w:gridCol w:w="3382"/>
      </w:tblGrid>
      <w:tr>
        <w:trPr/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ФИО кандидатов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 совет директоров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</w:tr>
      <w:tr>
        <w:trPr/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Пилкин Андрей Евгеньевич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64 213</w:t>
            </w:r>
          </w:p>
        </w:tc>
      </w:tr>
      <w:tr>
        <w:trPr/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Бекишев Александр Хамишевич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156</w:t>
            </w:r>
          </w:p>
        </w:tc>
      </w:tr>
      <w:tr>
        <w:trPr/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Воскресенский Алексей Владиславович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64 179</w:t>
            </w:r>
          </w:p>
        </w:tc>
      </w:tr>
      <w:tr>
        <w:trPr/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Мошняков Дмитрий Андреевич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64 190</w:t>
            </w:r>
          </w:p>
        </w:tc>
      </w:tr>
      <w:tr>
        <w:trPr/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Медведев Станислав Алексеевич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66 325</w:t>
            </w:r>
          </w:p>
        </w:tc>
      </w:tr>
      <w:tr>
        <w:trPr>
          <w:trHeight w:val="234" w:hRule="exact"/>
        </w:trPr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Стриженов Денис Викторович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64 180</w:t>
            </w:r>
          </w:p>
        </w:tc>
      </w:tr>
      <w:tr>
        <w:trPr>
          <w:trHeight w:val="234" w:hRule="exact"/>
        </w:trPr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Зернов Руслан Сергеевич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64 174</w:t>
            </w:r>
          </w:p>
        </w:tc>
      </w:tr>
      <w:tr>
        <w:trPr>
          <w:trHeight w:val="234" w:hRule="exact"/>
        </w:trPr>
        <w:tc>
          <w:tcPr>
            <w:tcW w:w="1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Дегалова Виктория Петровна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57 276</w:t>
            </w:r>
          </w:p>
        </w:tc>
      </w:tr>
      <w:tr>
        <w:trPr/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-57" w:right="-57"/>
              <w:jc w:val="center"/>
              <w:outlineLvl w:val="8"/>
              <w:rPr>
                <w:rFonts w:ascii="Times New Roman" w:hAnsi="Times New Roman" w:eastAsia="Times New Roman" w:cs="Times New Roman"/>
                <w:i/>
                <w:i/>
                <w:color w:val="000000"/>
                <w:sz w:val="20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всех кандидатов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161</w:t>
            </w:r>
          </w:p>
        </w:tc>
      </w:tr>
      <w:tr>
        <w:trPr/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-57" w:right="-57"/>
              <w:jc w:val="center"/>
              <w:outlineLvl w:val="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 всем кандидатам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329</w:t>
            </w:r>
          </w:p>
        </w:tc>
      </w:tr>
      <w:tr>
        <w:trPr/>
        <w:tc>
          <w:tcPr>
            <w:tcW w:w="5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1 221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 xml:space="preserve">Избрать совет директоров Общества в следующем составе </w:t>
      </w:r>
      <w:r>
        <w:rPr>
          <w:rFonts w:eastAsia="Times New Roman" w:cs="Times New Roman" w:ascii="Times New Roman" w:hAnsi="Times New Roman"/>
          <w:b/>
          <w:sz w:val="20"/>
          <w:szCs w:val="24"/>
          <w:shd w:fill="auto" w:val="clear"/>
          <w:lang w:eastAsia="ru-RU"/>
        </w:rPr>
        <w:t>(по результатам кумулятивного голосования из следующих кандидатов):</w:t>
      </w:r>
      <w:r>
        <w:rPr>
          <w:rFonts w:eastAsia="Times New Roman" w:cs="Times New Roman" w:ascii="Times New Roman" w:hAnsi="Times New Roman"/>
          <w:b/>
          <w:sz w:val="20"/>
          <w:szCs w:val="24"/>
          <w:shd w:fill="auto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Пилкин Андрей Евгеньевич;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Воскресенский Алексей Владиславович;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Мошняков Дмитрий Андреевич;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Медведев Станислав Алексеевич;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Стриженов Денис Викторович;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Зернов Руслан Сергеевич;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 Дегалова Виктория Петровна</w:t>
      </w:r>
      <w:r>
        <w:rPr>
          <w:rFonts w:eastAsia="Times New Roman" w:cs="Times New Roman" w:ascii="Times New Roman" w:hAnsi="Times New Roman"/>
          <w:b/>
          <w:i/>
          <w:sz w:val="20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6. По шестому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Итоги голосования: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9"/>
        <w:gridCol w:w="1834"/>
        <w:gridCol w:w="850"/>
        <w:gridCol w:w="1134"/>
        <w:gridCol w:w="851"/>
        <w:gridCol w:w="850"/>
        <w:gridCol w:w="1419"/>
        <w:gridCol w:w="849"/>
        <w:gridCol w:w="1559"/>
      </w:tblGrid>
      <w:tr>
        <w:trPr>
          <w:trHeight w:val="493" w:hRule="atLeast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ФИО кандидатов в ревизионную комиссию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Вариант голосования/число голосов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Недействительные или неподсчитанные по иным основаниям</w:t>
            </w:r>
          </w:p>
        </w:tc>
      </w:tr>
      <w:tr>
        <w:trPr>
          <w:trHeight w:val="178" w:hRule="atLeast"/>
        </w:trPr>
        <w:tc>
          <w:tcPr>
            <w:tcW w:w="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Процент*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ПРОТИВ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Процент*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ВОЗДЕРЖАЛСЯ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  <w:t>Процент*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Севостьянова Галина Александровна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13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63 689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99,8698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Филиппова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Елена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13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63 689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99,8698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Марковнина Вероника Евгеньевна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13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63 683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99,8604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0,0690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</w:t>
            </w:r>
            <w:bookmarkStart w:id="4" w:name="_GoBack"/>
            <w:bookmarkEnd w:id="4"/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tabs>
          <w:tab w:val="clear" w:pos="708"/>
          <w:tab w:val="left" w:pos="420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Избрать ревизионную комиссию Общества в следующем составе</w:t>
      </w:r>
      <w:r>
        <w:rPr>
          <w:rFonts w:eastAsia="Times New Roman" w:cs="Times New Roman" w:ascii="Times New Roman" w:hAnsi="Times New Roman"/>
          <w:b/>
          <w:sz w:val="20"/>
          <w:szCs w:val="24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4"/>
          <w:shd w:fill="auto" w:val="clear"/>
          <w:lang w:eastAsia="ru-RU"/>
        </w:rPr>
        <w:t>(по результатам голосования из следующих кандидатов)</w:t>
      </w:r>
      <w:r>
        <w:rPr>
          <w:rFonts w:eastAsia="Times New Roman" w:cs="Times New Roman" w:ascii="Times New Roman" w:hAnsi="Times New Roman"/>
          <w:b/>
          <w:sz w:val="20"/>
          <w:szCs w:val="24"/>
          <w:shd w:fill="auto" w:val="clear"/>
          <w:lang w:eastAsia="ru-RU"/>
        </w:rPr>
        <w:t xml:space="preserve">: </w:t>
      </w:r>
    </w:p>
    <w:p>
      <w:pPr>
        <w:pStyle w:val="Normal"/>
        <w:tabs>
          <w:tab w:val="clear" w:pos="708"/>
          <w:tab w:val="left" w:pos="420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Марковнина Вероника Евгеньевна;</w:t>
      </w:r>
    </w:p>
    <w:p>
      <w:pPr>
        <w:pStyle w:val="Normal"/>
        <w:tabs>
          <w:tab w:val="clear" w:pos="708"/>
          <w:tab w:val="left" w:pos="420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Филиппова Елена Юрьевна;</w:t>
      </w:r>
    </w:p>
    <w:p>
      <w:pPr>
        <w:pStyle w:val="Normal"/>
        <w:tabs>
          <w:tab w:val="clear" w:pos="708"/>
          <w:tab w:val="left" w:pos="420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- Севостьянова Галина Александровна.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7. По седьмому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55 538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87,0884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8 175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12,8191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0,0502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0,0423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57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Назначить аудиторской организацией Общества Общество с ограниченной ответственностью «Группа Финансы» (ИНН 2312145943, ОГРН 1082312000110).</w:t>
      </w:r>
    </w:p>
    <w:p>
      <w:pPr>
        <w:pStyle w:val="Normal"/>
        <w:spacing w:lineRule="auto" w:line="257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tabs>
          <w:tab w:val="clear" w:pos="708"/>
          <w:tab w:val="left" w:pos="890" w:leader="none"/>
        </w:tabs>
        <w:spacing w:before="0" w:after="0"/>
        <w:rPr>
          <w:rFonts w:ascii="Times New Roman" w:hAnsi="Times New Roman" w:eastAsia="Times New Roman" w:cs="Times New Roman"/>
          <w:b/>
          <w:sz w:val="20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0"/>
          <w:szCs w:val="24"/>
          <w:u w:val="single"/>
          <w:lang w:eastAsia="ru-RU"/>
        </w:rPr>
        <w:t>8. По восьмому вопросу повестки дня: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Число голосов, которыми обладали лица, включенные в список лиц, имеющих право голоса при принятии решений общим собранием акционеров, по данному вопросу повестки дня: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п. 4.24 Положения Банка России от 16 ноября 2018 г. № 660-П «Об общих собраниях акционеров»: 74 543.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Число голосов, которыми обладали лица, принявшие участие в голосовании по данному вопросу повестки дня: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63 772 (85,5506%). Кворум имелся.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Итоги голосования: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03"/>
        <w:gridCol w:w="2300"/>
        <w:gridCol w:w="1242"/>
      </w:tblGrid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Вариант голосования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Число голосов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Процент*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55 463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86,9708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8 198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12,8552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ВОЗДЕРЖАЛСЯ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0,1442</w:t>
            </w:r>
          </w:p>
        </w:tc>
      </w:tr>
      <w:tr>
        <w:trPr/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Недействительные или неподсчитанные по иным основаниям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Nonformat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0,0298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ru-RU"/>
        </w:rPr>
        <w:t>*Процент от числа голосов, которыми обладали лица, принявшие участие в голосовании по данному вопросу повестки дня.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Формулировка принятого решения по данному вопросу повестки дня:</w:t>
      </w:r>
    </w:p>
    <w:p>
      <w:pPr>
        <w:pStyle w:val="Normal"/>
        <w:spacing w:lineRule="auto" w:line="257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eastAsia="ru-RU"/>
        </w:rPr>
        <w:t>Внести изменения и дополнения в Устав Общества.</w:t>
      </w:r>
    </w:p>
    <w:p>
      <w:pPr>
        <w:pStyle w:val="Normal"/>
        <w:spacing w:lineRule="auto" w:line="257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57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109"/>
        <w:gridCol w:w="2411"/>
        <w:gridCol w:w="3261"/>
      </w:tblGrid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Председатель заседания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349" w:right="-57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С.А. Медведев</w:t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  <w:t>(подпись)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24"/>
                <w:lang w:eastAsia="ru-RU"/>
              </w:rPr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  <w:t>Секретарь заседания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both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349" w:right="-57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4"/>
                <w:lang w:eastAsia="ru-RU"/>
              </w:rPr>
              <w:t>А.С. Соловьева</w:t>
            </w:r>
          </w:p>
        </w:tc>
      </w:tr>
      <w:tr>
        <w:trPr/>
        <w:tc>
          <w:tcPr>
            <w:tcW w:w="4109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  <w:t>(подпись)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688" w:footer="263" w:bottom="3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0393845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4b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803b1d"/>
    <w:rPr>
      <w:sz w:val="20"/>
      <w:szCs w:val="20"/>
    </w:rPr>
  </w:style>
  <w:style w:type="character" w:styleId="user">
    <w:name w:val="Символ сноски (user)"/>
    <w:semiHidden/>
    <w:unhideWhenUsed/>
    <w:qFormat/>
    <w:rsid w:val="00803b1d"/>
    <w:rPr>
      <w:sz w:val="24"/>
      <w:vertAlign w:val="superscript"/>
    </w:rPr>
  </w:style>
  <w:style w:type="character" w:styleId="Style15">
    <w:name w:val="Символ сноски"/>
    <w:qFormat/>
    <w:rPr>
      <w:sz w:val="24"/>
      <w:vertAlign w:val="superscript"/>
    </w:rPr>
  </w:style>
  <w:style w:type="character" w:styleId="FootnoteReference">
    <w:name w:val="footnote reference"/>
    <w:rPr>
      <w:sz w:val="24"/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021b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f021ba"/>
    <w:rPr/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d56efd"/>
    <w:rPr>
      <w:rFonts w:eastAsia="" w:eastAsiaTheme="minorEastAsia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803b1d"/>
    <w:pPr>
      <w:spacing w:lineRule="auto" w:line="240" w:before="0" w:after="0"/>
    </w:pPr>
    <w:rPr>
      <w:sz w:val="20"/>
      <w:szCs w:val="20"/>
    </w:rPr>
  </w:style>
  <w:style w:type="paragraph" w:styleId="ConsNonformat" w:customStyle="1">
    <w:name w:val="ConsNonformat"/>
    <w:qFormat/>
    <w:rsid w:val="00654b84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f021b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f021b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2"/>
    <w:uiPriority w:val="99"/>
    <w:unhideWhenUsed/>
    <w:qFormat/>
    <w:rsid w:val="00d56efd"/>
    <w:pPr>
      <w:suppressAutoHyphens w:val="true"/>
      <w:spacing w:lineRule="auto" w:line="480" w:before="0" w:after="120"/>
    </w:pPr>
    <w:rPr>
      <w:rFonts w:eastAsia="" w:eastAsiaTheme="minorEastAsia"/>
      <w:lang w:eastAsia="ru-RU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025C-39AC-42AE-B469-F704A9E9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LibreOffice/25.2.6.2$Linux_X86_64 LibreOffice_project/520$Build-2</Application>
  <AppVersion>15.0000</AppVersion>
  <Pages>4</Pages>
  <Words>1638</Words>
  <Characters>10214</Characters>
  <CharactersWithSpaces>11601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2026-06-26T09:10:00Z</dcterms:created>
  <dc:creator>Бекетова Ольга Витальевна</dc:creator>
  <dc:description/>
  <dc:language>ru-RU</dc:language>
  <cp:lastModifiedBy/>
  <dcterms:modified xsi:type="dcterms:W3CDTF">2026-06-29T16:22:53Z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